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28" w:rsidRDefault="00835A7E">
      <w:pPr>
        <w:pStyle w:val="Body"/>
        <w:spacing w:after="0" w:line="240" w:lineRule="auto"/>
        <w:jc w:val="center"/>
        <w:rPr>
          <w:rFonts w:ascii="Times New Roman" w:eastAsia="Times New Roman" w:hAnsi="Times New Roman" w:cs="Times New Roman"/>
          <w:color w:val="212121"/>
          <w:u w:color="212121"/>
          <w:shd w:val="clear" w:color="auto" w:fill="FFFFFF"/>
        </w:rPr>
      </w:pPr>
      <w:bookmarkStart w:id="0" w:name="_GoBack"/>
      <w:bookmarkEnd w:id="0"/>
      <w:r>
        <w:rPr>
          <w:rFonts w:ascii="Times New Roman" w:hAnsi="Times New Roman"/>
          <w:color w:val="212121"/>
          <w:u w:color="212121"/>
          <w:shd w:val="clear" w:color="auto" w:fill="FFFFFF"/>
        </w:rPr>
        <w:t>Centre for Political Studies</w:t>
      </w:r>
      <w:r>
        <w:rPr>
          <w:rFonts w:ascii="Arial Unicode MS" w:eastAsia="Arial Unicode MS" w:hAnsi="Arial Unicode MS" w:cs="Arial Unicode MS"/>
          <w:color w:val="212121"/>
          <w:u w:color="212121"/>
        </w:rPr>
        <w:br/>
      </w:r>
      <w:r>
        <w:rPr>
          <w:rFonts w:ascii="Times New Roman" w:hAnsi="Times New Roman"/>
          <w:color w:val="212121"/>
          <w:u w:color="212121"/>
          <w:shd w:val="clear" w:color="auto" w:fill="FFFFFF"/>
        </w:rPr>
        <w:t>SSS/JNU</w:t>
      </w:r>
      <w:r>
        <w:rPr>
          <w:rFonts w:ascii="Arial Unicode MS" w:eastAsia="Arial Unicode MS" w:hAnsi="Arial Unicode MS" w:cs="Arial Unicode MS"/>
          <w:color w:val="212121"/>
          <w:u w:color="212121"/>
        </w:rPr>
        <w:br/>
      </w:r>
      <w:r>
        <w:rPr>
          <w:rFonts w:ascii="Arial Unicode MS" w:eastAsia="Arial Unicode MS" w:hAnsi="Arial Unicode MS" w:cs="Arial Unicode MS"/>
          <w:color w:val="212121"/>
          <w:u w:color="212121"/>
        </w:rPr>
        <w:br/>
      </w:r>
      <w:r>
        <w:rPr>
          <w:rFonts w:ascii="Times New Roman" w:hAnsi="Times New Roman"/>
          <w:color w:val="212121"/>
          <w:u w:color="212121"/>
          <w:shd w:val="clear" w:color="auto" w:fill="FFFFFF"/>
          <w:lang w:val="fr-FR"/>
        </w:rPr>
        <w:t>M.Phil. Optional course</w:t>
      </w:r>
      <w:r>
        <w:rPr>
          <w:rFonts w:ascii="Arial Unicode MS" w:eastAsia="Arial Unicode MS" w:hAnsi="Arial Unicode MS" w:cs="Arial Unicode MS"/>
          <w:color w:val="212121"/>
          <w:u w:color="212121"/>
        </w:rPr>
        <w:br/>
      </w:r>
      <w:r>
        <w:rPr>
          <w:rFonts w:ascii="Arial Unicode MS" w:eastAsia="Arial Unicode MS" w:hAnsi="Arial Unicode MS" w:cs="Arial Unicode MS"/>
          <w:color w:val="212121"/>
          <w:u w:color="212121"/>
        </w:rPr>
        <w:br/>
      </w:r>
      <w:r>
        <w:rPr>
          <w:rFonts w:ascii="Times New Roman" w:hAnsi="Times New Roman"/>
          <w:color w:val="212121"/>
          <w:u w:color="212121"/>
          <w:shd w:val="clear" w:color="auto" w:fill="FFFFFF"/>
          <w:lang w:val="de-DE"/>
        </w:rPr>
        <w:t>PO: 630 Texts in Political Philosophy</w:t>
      </w:r>
    </w:p>
    <w:p w:rsidR="00316528" w:rsidRDefault="00835A7E">
      <w:pPr>
        <w:pStyle w:val="Body"/>
        <w:spacing w:after="0" w:line="240" w:lineRule="auto"/>
        <w:rPr>
          <w:rFonts w:ascii="Times New Roman" w:eastAsia="Times New Roman" w:hAnsi="Times New Roman" w:cs="Times New Roman"/>
          <w:color w:val="212121"/>
          <w:u w:color="212121"/>
          <w:shd w:val="clear" w:color="auto" w:fill="FFFFFF"/>
        </w:rPr>
      </w:pPr>
      <w:r>
        <w:rPr>
          <w:rFonts w:ascii="Arial Unicode MS" w:eastAsia="Arial Unicode MS" w:hAnsi="Arial Unicode MS" w:cs="Arial Unicode MS"/>
          <w:color w:val="212121"/>
          <w:u w:color="212121"/>
        </w:rPr>
        <w:br/>
      </w:r>
      <w:r>
        <w:rPr>
          <w:rFonts w:ascii="Arial Unicode MS" w:eastAsia="Arial Unicode MS" w:hAnsi="Arial Unicode MS" w:cs="Arial Unicode MS"/>
          <w:color w:val="212121"/>
          <w:u w:color="212121"/>
        </w:rPr>
        <w:br/>
      </w:r>
      <w:r>
        <w:rPr>
          <w:rFonts w:ascii="Times New Roman" w:hAnsi="Times New Roman"/>
          <w:color w:val="212121"/>
          <w:u w:color="212121"/>
          <w:shd w:val="clear" w:color="auto" w:fill="FFFFFF"/>
        </w:rPr>
        <w:t>What is a text? How should we read a text? Is it enough to move from sentence to sentence, page by page, from the beginning to the end of a text? How do we arrive at the meaning of the text? Should we focus on the author’s intended meaning? Can we arrive at the meaning of a text that was written in a different historical period? What is the purpose of reading texts? What constitutes the text? Does the text have clearly marked boundaries? </w:t>
      </w:r>
      <w:r>
        <w:rPr>
          <w:rFonts w:ascii="Arial Unicode MS" w:eastAsia="Arial Unicode MS" w:hAnsi="Arial Unicode MS" w:cs="Arial Unicode MS"/>
          <w:color w:val="212121"/>
          <w:u w:color="212121"/>
        </w:rPr>
        <w:br/>
      </w:r>
      <w:r>
        <w:rPr>
          <w:rFonts w:ascii="Arial Unicode MS" w:eastAsia="Arial Unicode MS" w:hAnsi="Arial Unicode MS" w:cs="Arial Unicode MS"/>
          <w:color w:val="212121"/>
          <w:u w:color="212121"/>
        </w:rPr>
        <w:br/>
      </w:r>
      <w:r>
        <w:rPr>
          <w:rFonts w:ascii="Times New Roman" w:hAnsi="Times New Roman"/>
          <w:color w:val="212121"/>
          <w:u w:color="212121"/>
          <w:shd w:val="clear" w:color="auto" w:fill="FFFFFF"/>
        </w:rPr>
        <w:t>Drawing upon the debates in the philosophy of the social sciences, in particular in and around the hermeneutic tradition, the aim of the Course is to - i) introduce students to some of the methodological and philosophical issues involved in reading a text and understanding its meaning; </w:t>
      </w:r>
      <w:r>
        <w:rPr>
          <w:rFonts w:ascii="Arial Unicode MS" w:eastAsia="Arial Unicode MS" w:hAnsi="Arial Unicode MS" w:cs="Arial Unicode MS"/>
          <w:color w:val="212121"/>
          <w:u w:color="212121"/>
        </w:rPr>
        <w:br/>
      </w:r>
      <w:r>
        <w:rPr>
          <w:rFonts w:ascii="Times New Roman" w:hAnsi="Times New Roman"/>
          <w:color w:val="212121"/>
          <w:u w:color="212121"/>
          <w:shd w:val="clear" w:color="auto" w:fill="FFFFFF"/>
        </w:rPr>
        <w:t>b) appreciate the complex issues involved in interpreting a text by systematically reading an identified text. </w:t>
      </w:r>
      <w:r>
        <w:rPr>
          <w:rFonts w:ascii="Arial Unicode MS" w:eastAsia="Arial Unicode MS" w:hAnsi="Arial Unicode MS" w:cs="Arial Unicode MS"/>
          <w:color w:val="212121"/>
          <w:u w:color="212121"/>
        </w:rPr>
        <w:br/>
      </w:r>
      <w:r>
        <w:rPr>
          <w:rFonts w:ascii="Arial Unicode MS" w:eastAsia="Arial Unicode MS" w:hAnsi="Arial Unicode MS" w:cs="Arial Unicode MS"/>
          <w:color w:val="212121"/>
          <w:u w:color="212121"/>
        </w:rPr>
        <w:br/>
      </w:r>
      <w:r>
        <w:rPr>
          <w:rFonts w:ascii="Times New Roman" w:hAnsi="Times New Roman"/>
          <w:color w:val="212121"/>
          <w:u w:color="212121"/>
        </w:rPr>
        <w:t>Every year the Course takes up one</w:t>
      </w:r>
      <w:r>
        <w:rPr>
          <w:rFonts w:ascii="Times New Roman" w:hAnsi="Times New Roman"/>
          <w:color w:val="212121"/>
          <w:u w:color="212121"/>
          <w:shd w:val="clear" w:color="auto" w:fill="FFFFFF"/>
        </w:rPr>
        <w:t xml:space="preserve"> major text in western or Indian political philosophy. This semester the text that we will be reading is - </w:t>
      </w:r>
      <w:r>
        <w:rPr>
          <w:rFonts w:ascii="Times New Roman" w:hAnsi="Times New Roman"/>
          <w:i/>
          <w:iCs/>
          <w:color w:val="212121"/>
          <w:u w:color="212121"/>
          <w:shd w:val="clear" w:color="auto" w:fill="FFFFFF"/>
        </w:rPr>
        <w:t xml:space="preserve">Lectures on the History of Philosophy - </w:t>
      </w:r>
      <w:r>
        <w:rPr>
          <w:rFonts w:ascii="Times New Roman" w:hAnsi="Times New Roman"/>
          <w:color w:val="212121"/>
          <w:u w:color="212121"/>
          <w:shd w:val="clear" w:color="auto" w:fill="FFFFFF"/>
        </w:rPr>
        <w:t>by G.W.F. Hegel</w:t>
      </w:r>
      <w:r>
        <w:rPr>
          <w:rFonts w:ascii="Times New Roman" w:hAnsi="Times New Roman"/>
          <w:i/>
          <w:iCs/>
          <w:color w:val="212121"/>
          <w:u w:color="212121"/>
          <w:shd w:val="clear" w:color="auto" w:fill="FFFFFF"/>
        </w:rPr>
        <w:t xml:space="preserve"> . </w:t>
      </w:r>
      <w:r>
        <w:rPr>
          <w:rFonts w:ascii="Times New Roman" w:hAnsi="Times New Roman"/>
          <w:color w:val="212121"/>
          <w:u w:color="212121"/>
          <w:shd w:val="clear" w:color="auto" w:fill="FFFFFF"/>
        </w:rPr>
        <w:t>The students would be required to read the prescribed text along with interpretations of the text and debates generated around it.</w:t>
      </w:r>
      <w:r>
        <w:rPr>
          <w:rFonts w:ascii="Arial Unicode MS" w:eastAsia="Arial Unicode MS" w:hAnsi="Arial Unicode MS" w:cs="Arial Unicode MS"/>
          <w:color w:val="212121"/>
          <w:u w:color="212121"/>
        </w:rPr>
        <w:br/>
      </w:r>
      <w:r>
        <w:rPr>
          <w:rFonts w:ascii="Arial Unicode MS" w:eastAsia="Arial Unicode MS" w:hAnsi="Arial Unicode MS" w:cs="Arial Unicode MS"/>
          <w:color w:val="212121"/>
          <w:u w:color="212121"/>
        </w:rPr>
        <w:br/>
      </w:r>
      <w:r>
        <w:rPr>
          <w:rFonts w:ascii="Times New Roman" w:hAnsi="Times New Roman"/>
          <w:color w:val="212121"/>
          <w:u w:color="212121"/>
          <w:shd w:val="clear" w:color="auto" w:fill="FFFFFF"/>
        </w:rPr>
        <w:t>Each student will be asked to initiate discussion on specific sections of the identified text and submit one Term paper. Evaluation of these would be supplemented by an end term examination where students would be required to write an Essay around the texts that have been collectively read and discussed.</w:t>
      </w:r>
      <w:r>
        <w:rPr>
          <w:rFonts w:ascii="Arial Unicode MS" w:eastAsia="Arial Unicode MS" w:hAnsi="Arial Unicode MS" w:cs="Arial Unicode MS"/>
          <w:color w:val="212121"/>
          <w:u w:color="212121"/>
        </w:rPr>
        <w:br/>
      </w:r>
      <w:r>
        <w:rPr>
          <w:rFonts w:ascii="Arial Unicode MS" w:eastAsia="Arial Unicode MS" w:hAnsi="Arial Unicode MS" w:cs="Arial Unicode MS"/>
          <w:color w:val="212121"/>
          <w:u w:color="212121"/>
        </w:rPr>
        <w:br/>
      </w:r>
      <w:r>
        <w:rPr>
          <w:rFonts w:ascii="Arial Unicode MS" w:eastAsia="Arial Unicode MS" w:hAnsi="Arial Unicode MS" w:cs="Arial Unicode MS"/>
          <w:color w:val="212121"/>
          <w:u w:color="212121"/>
        </w:rPr>
        <w:br/>
      </w:r>
      <w:r>
        <w:rPr>
          <w:rFonts w:ascii="Times New Roman" w:hAnsi="Times New Roman"/>
          <w:color w:val="212121"/>
          <w:u w:val="single" w:color="212121"/>
        </w:rPr>
        <w:t xml:space="preserve">Supplementary </w:t>
      </w:r>
      <w:r>
        <w:rPr>
          <w:rFonts w:ascii="Times New Roman" w:hAnsi="Times New Roman"/>
          <w:color w:val="212121"/>
          <w:u w:val="single" w:color="212121"/>
          <w:shd w:val="clear" w:color="auto" w:fill="FFFFFF"/>
        </w:rPr>
        <w:t>Readings </w:t>
      </w:r>
      <w:r>
        <w:rPr>
          <w:rFonts w:ascii="Arial Unicode MS" w:eastAsia="Arial Unicode MS" w:hAnsi="Arial Unicode MS" w:cs="Arial Unicode MS"/>
          <w:color w:val="212121"/>
          <w:u w:val="single" w:color="212121"/>
        </w:rPr>
        <w:br/>
      </w:r>
      <w:r>
        <w:rPr>
          <w:rFonts w:ascii="Arial Unicode MS" w:eastAsia="Arial Unicode MS" w:hAnsi="Arial Unicode MS" w:cs="Arial Unicode MS"/>
          <w:color w:val="212121"/>
          <w:u w:color="212121"/>
        </w:rPr>
        <w:br/>
      </w:r>
      <w:r>
        <w:rPr>
          <w:rFonts w:ascii="Times New Roman" w:hAnsi="Times New Roman"/>
          <w:color w:val="212121"/>
          <w:u w:color="212121"/>
        </w:rPr>
        <w:t xml:space="preserve">Skinner </w:t>
      </w:r>
      <w:r>
        <w:rPr>
          <w:rFonts w:ascii="Times New Roman" w:hAnsi="Times New Roman"/>
          <w:color w:val="212121"/>
          <w:u w:color="212121"/>
          <w:shd w:val="clear" w:color="auto" w:fill="FFFFFF"/>
          <w:lang w:val="es-ES_tradnl"/>
        </w:rPr>
        <w:t>Quent</w:t>
      </w:r>
      <w:r>
        <w:rPr>
          <w:rFonts w:ascii="Times New Roman" w:hAnsi="Times New Roman"/>
          <w:color w:val="212121"/>
          <w:u w:color="212121"/>
          <w:shd w:val="clear" w:color="auto" w:fill="FFFFFF"/>
        </w:rPr>
        <w:t xml:space="preserve">in, “Meaning and Understanding in the History of Ideas”, </w:t>
      </w:r>
      <w:r>
        <w:rPr>
          <w:rFonts w:ascii="Times New Roman" w:hAnsi="Times New Roman"/>
          <w:i/>
          <w:iCs/>
          <w:color w:val="212121"/>
          <w:u w:color="212121"/>
          <w:shd w:val="clear" w:color="auto" w:fill="FFFFFF"/>
        </w:rPr>
        <w:t>History and Theory</w:t>
      </w:r>
      <w:r>
        <w:rPr>
          <w:rFonts w:ascii="Times New Roman" w:hAnsi="Times New Roman"/>
          <w:color w:val="212121"/>
          <w:u w:color="212121"/>
          <w:shd w:val="clear" w:color="auto" w:fill="FFFFFF"/>
        </w:rPr>
        <w:t>, 1969.</w:t>
      </w:r>
      <w:r>
        <w:rPr>
          <w:rFonts w:ascii="Arial Unicode MS" w:eastAsia="Arial Unicode MS" w:hAnsi="Arial Unicode MS" w:cs="Arial Unicode MS"/>
          <w:color w:val="212121"/>
          <w:u w:color="212121"/>
        </w:rPr>
        <w:br/>
      </w:r>
      <w:r>
        <w:rPr>
          <w:rFonts w:ascii="Arial Unicode MS" w:eastAsia="Arial Unicode MS" w:hAnsi="Arial Unicode MS" w:cs="Arial Unicode MS"/>
          <w:color w:val="212121"/>
          <w:u w:color="212121"/>
        </w:rPr>
        <w:br/>
      </w:r>
      <w:r>
        <w:rPr>
          <w:rFonts w:ascii="Times New Roman" w:hAnsi="Times New Roman"/>
          <w:color w:val="212121"/>
          <w:u w:color="212121"/>
        </w:rPr>
        <w:t xml:space="preserve">Skinner, </w:t>
      </w:r>
      <w:r>
        <w:rPr>
          <w:rFonts w:ascii="Times New Roman" w:hAnsi="Times New Roman"/>
          <w:color w:val="212121"/>
          <w:u w:color="212121"/>
          <w:shd w:val="clear" w:color="auto" w:fill="FFFFFF"/>
        </w:rPr>
        <w:t xml:space="preserve">Hans, </w:t>
      </w:r>
      <w:r>
        <w:rPr>
          <w:rFonts w:ascii="Times New Roman" w:hAnsi="Times New Roman"/>
          <w:i/>
          <w:iCs/>
          <w:color w:val="212121"/>
          <w:u w:color="212121"/>
          <w:shd w:val="clear" w:color="auto" w:fill="FFFFFF"/>
        </w:rPr>
        <w:t>Truth and Method,</w:t>
      </w:r>
      <w:r>
        <w:rPr>
          <w:rFonts w:ascii="Times New Roman" w:hAnsi="Times New Roman"/>
          <w:color w:val="212121"/>
          <w:u w:color="212121"/>
          <w:shd w:val="clear" w:color="auto" w:fill="FFFFFF"/>
        </w:rPr>
        <w:t xml:space="preserve"> London: Sheed &amp; Ward, 2nd edition, 1989,  Part Two, section II, subsection a) and b)</w:t>
      </w:r>
      <w:r>
        <w:rPr>
          <w:rFonts w:ascii="Arial Unicode MS" w:eastAsia="Arial Unicode MS" w:hAnsi="Arial Unicode MS" w:cs="Arial Unicode MS"/>
          <w:color w:val="212121"/>
          <w:u w:color="212121"/>
        </w:rPr>
        <w:br/>
      </w:r>
      <w:r>
        <w:rPr>
          <w:rFonts w:ascii="Arial Unicode MS" w:eastAsia="Arial Unicode MS" w:hAnsi="Arial Unicode MS" w:cs="Arial Unicode MS"/>
          <w:color w:val="212121"/>
          <w:u w:color="212121"/>
        </w:rPr>
        <w:br/>
      </w:r>
      <w:r>
        <w:rPr>
          <w:rFonts w:ascii="Times New Roman" w:hAnsi="Times New Roman"/>
          <w:color w:val="212121"/>
          <w:u w:color="212121"/>
        </w:rPr>
        <w:t xml:space="preserve">Ricoeur </w:t>
      </w:r>
      <w:r>
        <w:rPr>
          <w:rFonts w:ascii="Times New Roman" w:hAnsi="Times New Roman"/>
          <w:color w:val="212121"/>
          <w:u w:color="212121"/>
          <w:shd w:val="clear" w:color="auto" w:fill="FFFFFF"/>
        </w:rPr>
        <w:t>Paul, “The Hermeneutical Function of Distantiation”</w:t>
      </w:r>
      <w:r>
        <w:rPr>
          <w:rFonts w:ascii="Times New Roman" w:hAnsi="Times New Roman"/>
          <w:color w:val="212121"/>
          <w:u w:color="212121"/>
          <w:shd w:val="clear" w:color="auto" w:fill="FFFFFF"/>
          <w:lang w:val="it-IT"/>
        </w:rPr>
        <w:t xml:space="preserve">, in </w:t>
      </w:r>
      <w:r>
        <w:rPr>
          <w:rFonts w:ascii="Times New Roman" w:hAnsi="Times New Roman"/>
          <w:i/>
          <w:iCs/>
          <w:color w:val="212121"/>
          <w:u w:color="212121"/>
          <w:shd w:val="clear" w:color="auto" w:fill="FFFFFF"/>
        </w:rPr>
        <w:t>Hermeneutics and the Human Sciences</w:t>
      </w:r>
      <w:r>
        <w:rPr>
          <w:rFonts w:ascii="Times New Roman" w:hAnsi="Times New Roman"/>
          <w:color w:val="212121"/>
          <w:u w:color="212121"/>
          <w:shd w:val="clear" w:color="auto" w:fill="FFFFFF"/>
        </w:rPr>
        <w:t>, Cambridge: Cambridge University Press, 1981</w:t>
      </w:r>
      <w:r>
        <w:rPr>
          <w:rFonts w:ascii="Arial Unicode MS" w:eastAsia="Arial Unicode MS" w:hAnsi="Arial Unicode MS" w:cs="Arial Unicode MS"/>
          <w:color w:val="212121"/>
          <w:u w:color="212121"/>
        </w:rPr>
        <w:br/>
      </w:r>
    </w:p>
    <w:p w:rsidR="00316528" w:rsidRDefault="00835A7E">
      <w:pPr>
        <w:pStyle w:val="Body"/>
        <w:spacing w:after="0" w:line="240" w:lineRule="auto"/>
        <w:rPr>
          <w:rFonts w:ascii="Times New Roman" w:eastAsia="Times New Roman" w:hAnsi="Times New Roman" w:cs="Times New Roman"/>
          <w:color w:val="212121"/>
          <w:u w:color="212121"/>
          <w:shd w:val="clear" w:color="auto" w:fill="FFFFFF"/>
        </w:rPr>
      </w:pPr>
      <w:r>
        <w:rPr>
          <w:rFonts w:ascii="Times New Roman" w:hAnsi="Times New Roman"/>
          <w:color w:val="212121"/>
          <w:u w:color="212121"/>
          <w:shd w:val="clear" w:color="auto" w:fill="FFFFFF"/>
        </w:rPr>
        <w:t xml:space="preserve">Tully </w:t>
      </w:r>
      <w:r>
        <w:rPr>
          <w:rFonts w:ascii="Times New Roman" w:hAnsi="Times New Roman"/>
          <w:color w:val="212121"/>
          <w:u w:color="212121"/>
          <w:shd w:val="clear" w:color="auto" w:fill="FFFFFF"/>
          <w:lang w:val="pt-PT"/>
        </w:rPr>
        <w:t xml:space="preserve">James [ed.], </w:t>
      </w:r>
      <w:r>
        <w:rPr>
          <w:rFonts w:ascii="Times New Roman" w:hAnsi="Times New Roman"/>
          <w:i/>
          <w:iCs/>
          <w:color w:val="212121"/>
          <w:u w:color="212121"/>
          <w:shd w:val="clear" w:color="auto" w:fill="FFFFFF"/>
        </w:rPr>
        <w:t>Meaning and Context: Quentin Skinner and his Critics</w:t>
      </w:r>
      <w:r>
        <w:rPr>
          <w:rFonts w:ascii="Times New Roman" w:hAnsi="Times New Roman"/>
          <w:color w:val="212121"/>
          <w:u w:color="212121"/>
          <w:shd w:val="clear" w:color="auto" w:fill="FFFFFF"/>
        </w:rPr>
        <w:t>, Princeton: Princeton University Press, 1980</w:t>
      </w:r>
      <w:r>
        <w:rPr>
          <w:rFonts w:ascii="Arial Unicode MS" w:eastAsia="Arial Unicode MS" w:hAnsi="Arial Unicode MS" w:cs="Arial Unicode MS"/>
          <w:color w:val="212121"/>
          <w:u w:color="212121"/>
        </w:rPr>
        <w:br/>
      </w:r>
    </w:p>
    <w:p w:rsidR="00316528" w:rsidRDefault="00835A7E">
      <w:pPr>
        <w:pStyle w:val="Body"/>
        <w:spacing w:after="0" w:line="240" w:lineRule="auto"/>
        <w:rPr>
          <w:rFonts w:ascii="Times New Roman" w:eastAsia="Times New Roman" w:hAnsi="Times New Roman" w:cs="Times New Roman"/>
          <w:color w:val="212121"/>
          <w:u w:color="212121"/>
          <w:shd w:val="clear" w:color="auto" w:fill="FFFFFF"/>
        </w:rPr>
      </w:pPr>
      <w:r>
        <w:rPr>
          <w:rFonts w:ascii="Times New Roman" w:hAnsi="Times New Roman"/>
          <w:color w:val="212121"/>
          <w:u w:color="212121"/>
          <w:shd w:val="clear" w:color="auto" w:fill="FFFFFF"/>
        </w:rPr>
        <w:t xml:space="preserve">Bleacher, Josef, </w:t>
      </w:r>
      <w:r>
        <w:rPr>
          <w:rFonts w:ascii="Times New Roman" w:hAnsi="Times New Roman"/>
          <w:i/>
          <w:iCs/>
          <w:color w:val="212121"/>
          <w:u w:color="212121"/>
          <w:shd w:val="clear" w:color="auto" w:fill="FFFFFF"/>
        </w:rPr>
        <w:t xml:space="preserve">Contemporary Hermeneutics: Hermeneutics as Method, Philosophy and Critique, </w:t>
      </w:r>
      <w:r>
        <w:rPr>
          <w:rFonts w:ascii="Times New Roman" w:hAnsi="Times New Roman"/>
          <w:color w:val="212121"/>
          <w:u w:color="212121"/>
          <w:shd w:val="clear" w:color="auto" w:fill="FFFFFF"/>
        </w:rPr>
        <w:t>London: Routledge, 1980 </w:t>
      </w:r>
      <w:r>
        <w:rPr>
          <w:rFonts w:ascii="Arial Unicode MS" w:eastAsia="Arial Unicode MS" w:hAnsi="Arial Unicode MS" w:cs="Arial Unicode MS"/>
          <w:color w:val="212121"/>
          <w:u w:color="212121"/>
        </w:rPr>
        <w:br/>
      </w:r>
      <w:r>
        <w:rPr>
          <w:rFonts w:ascii="Arial Unicode MS" w:eastAsia="Arial Unicode MS" w:hAnsi="Arial Unicode MS" w:cs="Arial Unicode MS"/>
          <w:color w:val="212121"/>
          <w:u w:color="212121"/>
        </w:rPr>
        <w:br/>
      </w:r>
      <w:r>
        <w:rPr>
          <w:rFonts w:ascii="Times New Roman" w:hAnsi="Times New Roman"/>
          <w:color w:val="212121"/>
          <w:u w:color="212121"/>
          <w:shd w:val="clear" w:color="auto" w:fill="FFFFFF"/>
          <w:lang w:val="de-DE"/>
        </w:rPr>
        <w:lastRenderedPageBreak/>
        <w:t xml:space="preserve"> Kurt, Mueller-Vollmer, [ed.], </w:t>
      </w:r>
      <w:r>
        <w:rPr>
          <w:rFonts w:ascii="Times New Roman" w:hAnsi="Times New Roman"/>
          <w:i/>
          <w:iCs/>
          <w:color w:val="212121"/>
          <w:u w:color="212121"/>
          <w:shd w:val="clear" w:color="auto" w:fill="FFFFFF"/>
        </w:rPr>
        <w:t xml:space="preserve">The Hermeneutics Reader:Texts of the German Tradition from the Enlightenment to the Present, </w:t>
      </w:r>
      <w:r>
        <w:rPr>
          <w:rFonts w:ascii="Times New Roman" w:hAnsi="Times New Roman"/>
          <w:color w:val="212121"/>
          <w:u w:color="212121"/>
          <w:shd w:val="clear" w:color="auto" w:fill="FFFFFF"/>
          <w:lang w:val="nl-NL"/>
        </w:rPr>
        <w:t>Continuum Reprint Edition, 1988</w:t>
      </w:r>
    </w:p>
    <w:p w:rsidR="00316528" w:rsidRDefault="00316528">
      <w:pPr>
        <w:pStyle w:val="Body"/>
        <w:spacing w:after="0" w:line="240" w:lineRule="auto"/>
        <w:rPr>
          <w:rFonts w:ascii="Times New Roman" w:eastAsia="Times New Roman" w:hAnsi="Times New Roman" w:cs="Times New Roman"/>
          <w:color w:val="212121"/>
          <w:u w:color="212121"/>
          <w:shd w:val="clear" w:color="auto" w:fill="FFFFFF"/>
        </w:rPr>
      </w:pPr>
    </w:p>
    <w:p w:rsidR="00316528" w:rsidRDefault="00835A7E">
      <w:pPr>
        <w:pStyle w:val="Body"/>
        <w:spacing w:after="0" w:line="240" w:lineRule="auto"/>
        <w:rPr>
          <w:rFonts w:ascii="Times New Roman" w:eastAsia="Times New Roman" w:hAnsi="Times New Roman" w:cs="Times New Roman"/>
          <w:color w:val="212121"/>
          <w:u w:color="212121"/>
          <w:shd w:val="clear" w:color="auto" w:fill="FFFFFF"/>
        </w:rPr>
      </w:pPr>
      <w:r>
        <w:rPr>
          <w:rFonts w:ascii="Times New Roman" w:hAnsi="Times New Roman"/>
          <w:color w:val="212121"/>
          <w:u w:color="212121"/>
          <w:shd w:val="clear" w:color="auto" w:fill="FFFFFF"/>
        </w:rPr>
        <w:t xml:space="preserve">Silverman, Hugh J. </w:t>
      </w:r>
      <w:r>
        <w:rPr>
          <w:rFonts w:ascii="Times New Roman" w:hAnsi="Times New Roman"/>
          <w:i/>
          <w:iCs/>
          <w:color w:val="212121"/>
          <w:u w:color="212121"/>
          <w:shd w:val="clear" w:color="auto" w:fill="FFFFFF"/>
        </w:rPr>
        <w:t>Textualities: Between Hermeneutics and Deconstruction</w:t>
      </w:r>
      <w:r>
        <w:rPr>
          <w:rFonts w:ascii="Times New Roman" w:hAnsi="Times New Roman"/>
          <w:color w:val="212121"/>
          <w:u w:color="212121"/>
          <w:shd w:val="clear" w:color="auto" w:fill="FFFFFF"/>
        </w:rPr>
        <w:t>, London: Routledge, 1994</w:t>
      </w:r>
    </w:p>
    <w:p w:rsidR="00316528" w:rsidRDefault="00316528">
      <w:pPr>
        <w:pStyle w:val="Body"/>
        <w:spacing w:after="0" w:line="240" w:lineRule="auto"/>
        <w:rPr>
          <w:rFonts w:ascii="Times New Roman" w:eastAsia="Times New Roman" w:hAnsi="Times New Roman" w:cs="Times New Roman"/>
          <w:color w:val="212121"/>
          <w:u w:color="212121"/>
          <w:shd w:val="clear" w:color="auto" w:fill="FFFFFF"/>
        </w:rPr>
      </w:pPr>
    </w:p>
    <w:p w:rsidR="00316528" w:rsidRDefault="00835A7E">
      <w:pPr>
        <w:pStyle w:val="Body"/>
        <w:spacing w:after="0" w:line="240" w:lineRule="auto"/>
        <w:rPr>
          <w:rFonts w:ascii="Times New Roman" w:eastAsia="Times New Roman" w:hAnsi="Times New Roman" w:cs="Times New Roman"/>
          <w:color w:val="212121"/>
          <w:u w:color="212121"/>
          <w:shd w:val="clear" w:color="auto" w:fill="FFFFFF"/>
        </w:rPr>
      </w:pPr>
      <w:r>
        <w:rPr>
          <w:rFonts w:ascii="Times New Roman" w:hAnsi="Times New Roman"/>
          <w:color w:val="212121"/>
          <w:u w:color="212121"/>
          <w:shd w:val="clear" w:color="auto" w:fill="FFFFFF"/>
          <w:lang w:val="da-DK"/>
        </w:rPr>
        <w:t xml:space="preserve">Lawrence, K. Schmidt, </w:t>
      </w:r>
      <w:r>
        <w:rPr>
          <w:rFonts w:ascii="Times New Roman" w:hAnsi="Times New Roman"/>
          <w:i/>
          <w:iCs/>
          <w:color w:val="212121"/>
          <w:u w:color="212121"/>
          <w:shd w:val="clear" w:color="auto" w:fill="FFFFFF"/>
        </w:rPr>
        <w:t>Understanding Hermeneutics,</w:t>
      </w:r>
      <w:r>
        <w:rPr>
          <w:rFonts w:ascii="Times New Roman" w:hAnsi="Times New Roman"/>
          <w:color w:val="212121"/>
          <w:u w:color="212121"/>
          <w:shd w:val="clear" w:color="auto" w:fill="FFFFFF"/>
        </w:rPr>
        <w:t xml:space="preserve"> Abingdon, New York: Routledge, 2014</w:t>
      </w:r>
    </w:p>
    <w:p w:rsidR="00316528" w:rsidRDefault="00316528">
      <w:pPr>
        <w:pStyle w:val="Body"/>
        <w:spacing w:after="0" w:line="240" w:lineRule="auto"/>
        <w:rPr>
          <w:rFonts w:ascii="Times New Roman" w:eastAsia="Times New Roman" w:hAnsi="Times New Roman" w:cs="Times New Roman"/>
          <w:color w:val="212121"/>
          <w:u w:color="212121"/>
          <w:shd w:val="clear" w:color="auto" w:fill="FFFFFF"/>
        </w:rPr>
      </w:pPr>
    </w:p>
    <w:p w:rsidR="00316528" w:rsidRDefault="00835A7E">
      <w:pPr>
        <w:pStyle w:val="Body"/>
        <w:spacing w:after="0" w:line="240" w:lineRule="auto"/>
        <w:rPr>
          <w:rFonts w:ascii="Times New Roman" w:eastAsia="Times New Roman" w:hAnsi="Times New Roman" w:cs="Times New Roman"/>
          <w:shd w:val="clear" w:color="auto" w:fill="F8F8F8"/>
        </w:rPr>
      </w:pPr>
      <w:r>
        <w:rPr>
          <w:rFonts w:ascii="Times New Roman" w:hAnsi="Times New Roman"/>
          <w:color w:val="212121"/>
          <w:u w:color="212121"/>
          <w:shd w:val="clear" w:color="auto" w:fill="FFFFFF"/>
        </w:rPr>
        <w:t xml:space="preserve">Thisleton, Anthony C. </w:t>
      </w:r>
      <w:r>
        <w:rPr>
          <w:rFonts w:ascii="Times New Roman" w:hAnsi="Times New Roman"/>
          <w:i/>
          <w:iCs/>
          <w:color w:val="212121"/>
          <w:u w:color="212121"/>
          <w:shd w:val="clear" w:color="auto" w:fill="FFFFFF"/>
        </w:rPr>
        <w:t>Hermeneutics: An Introduction</w:t>
      </w:r>
      <w:r>
        <w:rPr>
          <w:rFonts w:ascii="Times New Roman" w:hAnsi="Times New Roman"/>
          <w:color w:val="212121"/>
          <w:u w:color="212121"/>
          <w:shd w:val="clear" w:color="auto" w:fill="FFFFFF"/>
        </w:rPr>
        <w:t xml:space="preserve">, </w:t>
      </w:r>
      <w:r>
        <w:rPr>
          <w:rFonts w:ascii="Times New Roman" w:hAnsi="Times New Roman"/>
          <w:shd w:val="clear" w:color="auto" w:fill="F8F8F8"/>
          <w:lang w:val="nl-NL"/>
        </w:rPr>
        <w:t>William B. Eerdmans, 2009</w:t>
      </w:r>
    </w:p>
    <w:p w:rsidR="00316528" w:rsidRDefault="00316528">
      <w:pPr>
        <w:pStyle w:val="Body"/>
        <w:spacing w:after="0" w:line="240" w:lineRule="auto"/>
        <w:rPr>
          <w:rFonts w:ascii="Times New Roman" w:eastAsia="Times New Roman" w:hAnsi="Times New Roman" w:cs="Times New Roman"/>
          <w:shd w:val="clear" w:color="auto" w:fill="F8F8F8"/>
        </w:rPr>
      </w:pPr>
    </w:p>
    <w:p w:rsidR="00316528" w:rsidRDefault="00835A7E">
      <w:pPr>
        <w:pStyle w:val="Body"/>
        <w:spacing w:after="0" w:line="240" w:lineRule="auto"/>
        <w:rPr>
          <w:rFonts w:ascii="Times New Roman" w:eastAsia="Times New Roman" w:hAnsi="Times New Roman" w:cs="Times New Roman"/>
          <w:shd w:val="clear" w:color="auto" w:fill="F8F8F8"/>
        </w:rPr>
      </w:pPr>
      <w:r>
        <w:rPr>
          <w:rFonts w:ascii="Times New Roman" w:hAnsi="Times New Roman"/>
          <w:shd w:val="clear" w:color="auto" w:fill="F8F8F8"/>
        </w:rPr>
        <w:t xml:space="preserve">Taylor, Charles, </w:t>
      </w:r>
      <w:r>
        <w:rPr>
          <w:rFonts w:ascii="Times New Roman" w:hAnsi="Times New Roman"/>
          <w:i/>
          <w:iCs/>
          <w:shd w:val="clear" w:color="auto" w:fill="F8F8F8"/>
        </w:rPr>
        <w:t>Hegel, Cambridge: Cambridge University Press, 1975</w:t>
      </w:r>
    </w:p>
    <w:p w:rsidR="00316528" w:rsidRDefault="00835A7E">
      <w:pPr>
        <w:pStyle w:val="Body"/>
        <w:spacing w:after="0" w:line="240" w:lineRule="auto"/>
        <w:rPr>
          <w:rFonts w:ascii="Times New Roman" w:eastAsia="Times New Roman" w:hAnsi="Times New Roman" w:cs="Times New Roman"/>
          <w:shd w:val="clear" w:color="auto" w:fill="F8F8F8"/>
        </w:rPr>
      </w:pPr>
      <w:r>
        <w:rPr>
          <w:rFonts w:ascii="Times New Roman" w:hAnsi="Times New Roman"/>
          <w:shd w:val="clear" w:color="auto" w:fill="F8F8F8"/>
        </w:rPr>
        <w:t xml:space="preserve">Pelczynski, Z.A. </w:t>
      </w:r>
      <w:r>
        <w:rPr>
          <w:rFonts w:ascii="Times New Roman" w:hAnsi="Times New Roman"/>
          <w:i/>
          <w:iCs/>
          <w:shd w:val="clear" w:color="auto" w:fill="F8F8F8"/>
        </w:rPr>
        <w:t>Hegel’s</w:t>
      </w:r>
      <w:r>
        <w:rPr>
          <w:rFonts w:ascii="Times New Roman" w:hAnsi="Times New Roman"/>
          <w:shd w:val="clear" w:color="auto" w:fill="F8F8F8"/>
        </w:rPr>
        <w:t xml:space="preserve"> </w:t>
      </w:r>
      <w:r>
        <w:rPr>
          <w:rFonts w:ascii="Times New Roman" w:hAnsi="Times New Roman"/>
          <w:i/>
          <w:iCs/>
          <w:shd w:val="clear" w:color="auto" w:fill="F8F8F8"/>
        </w:rPr>
        <w:t>Political Philosophy,</w:t>
      </w:r>
      <w:r>
        <w:rPr>
          <w:rFonts w:ascii="Times New Roman" w:hAnsi="Times New Roman"/>
          <w:shd w:val="clear" w:color="auto" w:fill="F8F8F8"/>
        </w:rPr>
        <w:t xml:space="preserve"> Cambridge:Cambridge University Press, 1971</w:t>
      </w:r>
    </w:p>
    <w:p w:rsidR="00316528" w:rsidRDefault="00316528">
      <w:pPr>
        <w:pStyle w:val="Body"/>
        <w:spacing w:after="0" w:line="240" w:lineRule="auto"/>
        <w:rPr>
          <w:rFonts w:ascii="Times New Roman" w:eastAsia="Times New Roman" w:hAnsi="Times New Roman" w:cs="Times New Roman"/>
          <w:shd w:val="clear" w:color="auto" w:fill="F8F8F8"/>
        </w:rPr>
      </w:pPr>
    </w:p>
    <w:p w:rsidR="00316528" w:rsidRDefault="00835A7E">
      <w:pPr>
        <w:pStyle w:val="Body"/>
        <w:spacing w:after="0" w:line="240" w:lineRule="auto"/>
        <w:rPr>
          <w:rFonts w:ascii="Times New Roman" w:eastAsia="Times New Roman" w:hAnsi="Times New Roman" w:cs="Times New Roman"/>
          <w:shd w:val="clear" w:color="auto" w:fill="F8F8F8"/>
        </w:rPr>
      </w:pPr>
      <w:r>
        <w:rPr>
          <w:rFonts w:ascii="Times New Roman" w:hAnsi="Times New Roman"/>
          <w:shd w:val="clear" w:color="auto" w:fill="F8F8F8"/>
        </w:rPr>
        <w:t xml:space="preserve">Pippin, Robert, </w:t>
      </w:r>
      <w:r>
        <w:rPr>
          <w:rFonts w:ascii="Times New Roman" w:hAnsi="Times New Roman"/>
          <w:i/>
          <w:iCs/>
          <w:shd w:val="clear" w:color="auto" w:fill="F8F8F8"/>
        </w:rPr>
        <w:t>Hegel on Self-Consciousness: Death and Desire in the Phenomenology of Spirit</w:t>
      </w:r>
      <w:r>
        <w:rPr>
          <w:rFonts w:ascii="Times New Roman" w:hAnsi="Times New Roman"/>
          <w:shd w:val="clear" w:color="auto" w:fill="F8F8F8"/>
        </w:rPr>
        <w:t>, Princeton:Princeton University Press, 2010</w:t>
      </w:r>
    </w:p>
    <w:p w:rsidR="00316528" w:rsidRDefault="00316528">
      <w:pPr>
        <w:pStyle w:val="Body"/>
        <w:spacing w:after="0" w:line="240" w:lineRule="auto"/>
        <w:rPr>
          <w:rFonts w:ascii="Times New Roman" w:eastAsia="Times New Roman" w:hAnsi="Times New Roman" w:cs="Times New Roman"/>
          <w:shd w:val="clear" w:color="auto" w:fill="F8F8F8"/>
        </w:rPr>
      </w:pPr>
    </w:p>
    <w:p w:rsidR="00316528" w:rsidRDefault="00835A7E">
      <w:pPr>
        <w:pStyle w:val="Body"/>
        <w:spacing w:after="0" w:line="240" w:lineRule="auto"/>
        <w:rPr>
          <w:rFonts w:ascii="Times New Roman" w:eastAsia="Times New Roman" w:hAnsi="Times New Roman" w:cs="Times New Roman"/>
          <w:shd w:val="clear" w:color="auto" w:fill="F8F8F8"/>
        </w:rPr>
      </w:pPr>
      <w:r>
        <w:rPr>
          <w:rFonts w:ascii="Times New Roman" w:hAnsi="Times New Roman"/>
          <w:shd w:val="clear" w:color="auto" w:fill="F8F8F8"/>
        </w:rPr>
        <w:t xml:space="preserve">Kojeve, A. </w:t>
      </w:r>
      <w:r>
        <w:rPr>
          <w:rFonts w:ascii="Times New Roman" w:hAnsi="Times New Roman"/>
          <w:i/>
          <w:iCs/>
          <w:shd w:val="clear" w:color="auto" w:fill="F8F8F8"/>
        </w:rPr>
        <w:t>Introduction to the Reading of Hegel</w:t>
      </w:r>
      <w:r>
        <w:rPr>
          <w:rFonts w:ascii="Times New Roman" w:hAnsi="Times New Roman"/>
          <w:shd w:val="clear" w:color="auto" w:fill="F8F8F8"/>
        </w:rPr>
        <w:t>, Ithaca &amp; London: Cornell University Press, 1967</w:t>
      </w:r>
    </w:p>
    <w:p w:rsidR="00316528" w:rsidRDefault="00835A7E">
      <w:pPr>
        <w:pStyle w:val="Body"/>
        <w:spacing w:after="0" w:line="240" w:lineRule="auto"/>
      </w:pPr>
      <w:r>
        <w:rPr>
          <w:rFonts w:ascii="Segoe UI" w:eastAsia="Segoe UI" w:hAnsi="Segoe UI" w:cs="Segoe UI"/>
          <w:color w:val="212121"/>
          <w:u w:color="212121"/>
        </w:rPr>
        <w:br/>
      </w:r>
      <w:r>
        <w:rPr>
          <w:rFonts w:ascii="Segoe UI" w:eastAsia="Segoe UI" w:hAnsi="Segoe UI" w:cs="Segoe UI"/>
          <w:color w:val="212121"/>
          <w:u w:color="212121"/>
        </w:rPr>
        <w:br/>
      </w:r>
      <w:r>
        <w:rPr>
          <w:rFonts w:ascii="Segoe UI" w:eastAsia="Segoe UI" w:hAnsi="Segoe UI" w:cs="Segoe UI"/>
          <w:color w:val="212121"/>
          <w:u w:color="212121"/>
        </w:rPr>
        <w:br/>
      </w:r>
      <w:r>
        <w:rPr>
          <w:rFonts w:ascii="Segoe UI" w:eastAsia="Segoe UI" w:hAnsi="Segoe UI" w:cs="Segoe UI"/>
          <w:color w:val="212121"/>
          <w:u w:color="212121"/>
        </w:rPr>
        <w:br/>
      </w:r>
      <w:r>
        <w:rPr>
          <w:rFonts w:ascii="Segoe UI" w:eastAsia="Segoe UI" w:hAnsi="Segoe UI" w:cs="Segoe UI"/>
          <w:color w:val="212121"/>
          <w:u w:color="212121"/>
        </w:rPr>
        <w:br/>
      </w:r>
      <w:r>
        <w:rPr>
          <w:rFonts w:ascii="Segoe UI" w:eastAsia="Segoe UI" w:hAnsi="Segoe UI" w:cs="Segoe UI"/>
          <w:color w:val="212121"/>
          <w:u w:color="212121"/>
        </w:rPr>
        <w:br/>
      </w:r>
    </w:p>
    <w:sectPr w:rsidR="00316528">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BA2" w:rsidRDefault="00D45BA2">
      <w:r>
        <w:separator/>
      </w:r>
    </w:p>
  </w:endnote>
  <w:endnote w:type="continuationSeparator" w:id="0">
    <w:p w:rsidR="00D45BA2" w:rsidRDefault="00D4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28" w:rsidRDefault="00316528">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BA2" w:rsidRDefault="00D45BA2">
      <w:r>
        <w:separator/>
      </w:r>
    </w:p>
  </w:footnote>
  <w:footnote w:type="continuationSeparator" w:id="0">
    <w:p w:rsidR="00D45BA2" w:rsidRDefault="00D45B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28" w:rsidRDefault="00316528">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28"/>
    <w:rsid w:val="00316528"/>
    <w:rsid w:val="004C7BAB"/>
    <w:rsid w:val="00835A7E"/>
    <w:rsid w:val="00D45BA2"/>
    <w:rsid w:val="00F4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23F1E-116B-4B26-B4E7-68183A12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mahajan</dc:creator>
  <cp:lastModifiedBy>acer</cp:lastModifiedBy>
  <cp:revision>2</cp:revision>
  <dcterms:created xsi:type="dcterms:W3CDTF">2019-09-16T06:43:00Z</dcterms:created>
  <dcterms:modified xsi:type="dcterms:W3CDTF">2019-09-16T06:43:00Z</dcterms:modified>
</cp:coreProperties>
</file>